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перше півріччя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Департамент з питань цивільного захисту та оборонної роботи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23000089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Деснянський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7410136300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захисту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населення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надзвичайних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ситуацій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техногенного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характеру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2918230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Інші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громадського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безпеки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2615000,00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47960,00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47960,00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2615000,00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47960,00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47960,00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06.240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202100000027945724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2615000,00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47960,00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47960,00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2465000,00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47960,00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47960,00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.4168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202100000027945724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728.279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202100000027945724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БОЛДИРЕВ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ІГНАТЕНКО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липня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202100000027945724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